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92" w:rsidRDefault="00974392" w:rsidP="0097439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firstLine="709"/>
        <w:jc w:val="center"/>
        <w:textAlignment w:val="baseline"/>
        <w:rPr>
          <w:rFonts w:ascii="Palatino Linotype" w:hAnsi="Palatino Linotype"/>
          <w:sz w:val="28"/>
          <w:szCs w:val="28"/>
        </w:rPr>
      </w:pPr>
      <w:r w:rsidRPr="00974392">
        <w:rPr>
          <w:rFonts w:ascii="Palatino Linotype" w:hAnsi="Palatino Linotype"/>
          <w:b/>
          <w:sz w:val="28"/>
          <w:szCs w:val="28"/>
          <w:u w:val="single"/>
        </w:rPr>
        <w:t>Bibliografie</w:t>
      </w:r>
      <w:r w:rsidR="0059531A">
        <w:rPr>
          <w:rFonts w:ascii="Palatino Linotype" w:hAnsi="Palatino Linotype"/>
          <w:sz w:val="28"/>
          <w:szCs w:val="28"/>
        </w:rPr>
        <w:t xml:space="preserve"> </w:t>
      </w:r>
    </w:p>
    <w:p w:rsidR="00974392" w:rsidRPr="00025C9B" w:rsidRDefault="00974392" w:rsidP="00974392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Palatino Linotype" w:hAnsi="Palatino Linotype"/>
          <w:szCs w:val="24"/>
        </w:rPr>
      </w:pPr>
    </w:p>
    <w:p w:rsidR="00974392" w:rsidRPr="00025C9B" w:rsidRDefault="00974392" w:rsidP="0097439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Palatino Linotype" w:hAnsi="Palatino Linotype"/>
          <w:szCs w:val="24"/>
        </w:rPr>
      </w:pPr>
      <w:r w:rsidRPr="00025C9B">
        <w:rPr>
          <w:rFonts w:ascii="Palatino Linotype" w:hAnsi="Palatino Linotype"/>
          <w:szCs w:val="24"/>
        </w:rPr>
        <w:t>Constituţia României, republicată, Titlul III;</w:t>
      </w:r>
    </w:p>
    <w:p w:rsidR="00974392" w:rsidRPr="00025C9B" w:rsidRDefault="00974392" w:rsidP="0097439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Palatino Linotype" w:hAnsi="Palatino Linotype"/>
          <w:szCs w:val="24"/>
        </w:rPr>
      </w:pPr>
      <w:r w:rsidRPr="00025C9B">
        <w:rPr>
          <w:rFonts w:ascii="Palatino Linotype" w:hAnsi="Palatino Linotype"/>
          <w:szCs w:val="24"/>
        </w:rPr>
        <w:t>Ordonanţa de urgenţă a Guvernului nr. 57/2019 privind Codul administrativ, cu modificările și completările ulterioare, partea a III-a și a VI-a</w:t>
      </w:r>
      <w:r>
        <w:rPr>
          <w:rFonts w:ascii="Palatino Linotype" w:hAnsi="Palatino Linotype"/>
          <w:szCs w:val="24"/>
        </w:rPr>
        <w:t>;</w:t>
      </w:r>
    </w:p>
    <w:p w:rsidR="00974392" w:rsidRPr="00025C9B" w:rsidRDefault="00974392" w:rsidP="0097439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Palatino Linotype" w:hAnsi="Palatino Linotype"/>
          <w:b/>
          <w:szCs w:val="24"/>
        </w:rPr>
      </w:pPr>
      <w:r w:rsidRPr="00025C9B">
        <w:rPr>
          <w:rFonts w:ascii="Palatino Linotype" w:hAnsi="Palatino Linotype"/>
          <w:szCs w:val="24"/>
        </w:rPr>
        <w:t>Legea Arhivelor Naţionale nr. 16/1996, republicată – cap. III şi IV;</w:t>
      </w:r>
    </w:p>
    <w:p w:rsidR="00974392" w:rsidRPr="00025C9B" w:rsidRDefault="00974392" w:rsidP="0097439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Palatino Linotype" w:hAnsi="Palatino Linotype"/>
          <w:b/>
          <w:szCs w:val="24"/>
        </w:rPr>
      </w:pPr>
      <w:r w:rsidRPr="00025C9B">
        <w:rPr>
          <w:rFonts w:ascii="Palatino Linotype" w:hAnsi="Palatino Linotype"/>
          <w:szCs w:val="24"/>
        </w:rPr>
        <w:t>Hotărârea Consiliului Judeţean Covasna nr. 148/2021 privind aprobarea Regulamentului de organizare şi funcţionare a aparatului de specialitate al Consiliului Judeţean Covasna;</w:t>
      </w:r>
    </w:p>
    <w:p w:rsidR="00974392" w:rsidRPr="00987488" w:rsidRDefault="00974392" w:rsidP="0097439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Palatino Linotype" w:hAnsi="Palatino Linotype"/>
          <w:b/>
          <w:szCs w:val="24"/>
        </w:rPr>
      </w:pPr>
      <w:r w:rsidRPr="00987488">
        <w:rPr>
          <w:rFonts w:ascii="Palatino Linotype" w:hAnsi="Palatino Linotype"/>
          <w:szCs w:val="24"/>
        </w:rPr>
        <w:t>Dispoziția Președintelui Consiliului Județean Covasna nr. 62/2020 privind aprobarea Regulamentului intern al aparatului de specialitate al Consiliului Judeţean Covasna;</w:t>
      </w:r>
    </w:p>
    <w:p w:rsidR="00987488" w:rsidRPr="00BF7F2B" w:rsidRDefault="00987488" w:rsidP="0098748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Palatino Linotype" w:hAnsi="Palatino Linotype"/>
          <w:b/>
          <w:szCs w:val="24"/>
        </w:rPr>
      </w:pPr>
      <w:r w:rsidRPr="00025C9B">
        <w:rPr>
          <w:rFonts w:ascii="Palatino Linotype" w:hAnsi="Palatino Linotype" w:cs="TimesNewRomanPS-BoldMT"/>
          <w:bCs/>
          <w:szCs w:val="24"/>
        </w:rPr>
        <w:t xml:space="preserve">Dispoziția Președintelui nr. </w:t>
      </w:r>
      <w:r>
        <w:rPr>
          <w:rFonts w:ascii="Palatino Linotype" w:hAnsi="Palatino Linotype" w:cs="TimesNewRomanPS-BoldMT"/>
          <w:bCs/>
          <w:szCs w:val="24"/>
        </w:rPr>
        <w:t>9</w:t>
      </w:r>
      <w:r w:rsidRPr="00025C9B">
        <w:rPr>
          <w:rFonts w:ascii="Palatino Linotype" w:hAnsi="Palatino Linotype" w:cs="TimesNewRomanPS-BoldMT"/>
          <w:bCs/>
          <w:szCs w:val="24"/>
        </w:rPr>
        <w:t>/202</w:t>
      </w:r>
      <w:r>
        <w:rPr>
          <w:rFonts w:ascii="Palatino Linotype" w:hAnsi="Palatino Linotype" w:cs="TimesNewRomanPS-BoldMT"/>
          <w:bCs/>
          <w:szCs w:val="24"/>
        </w:rPr>
        <w:t>4</w:t>
      </w:r>
      <w:r w:rsidRPr="00025C9B">
        <w:rPr>
          <w:rFonts w:ascii="Palatino Linotype" w:hAnsi="Palatino Linotype" w:cs="TimesNewRomanPS-BoldMT"/>
          <w:bCs/>
          <w:szCs w:val="24"/>
        </w:rPr>
        <w:t xml:space="preserve"> pentru aprobare Normelor procedurale privind primirea, înregistrarea, urmărirea modului de rezolvare și expedierea </w:t>
      </w:r>
      <w:r>
        <w:rPr>
          <w:rFonts w:ascii="Palatino Linotype" w:hAnsi="Palatino Linotype" w:cs="TimesNewRomanPS-BoldMT"/>
          <w:bCs/>
          <w:szCs w:val="24"/>
        </w:rPr>
        <w:t>documentelor la nivelul Consiliului Județean Covasna</w:t>
      </w:r>
      <w:r w:rsidRPr="00025C9B">
        <w:rPr>
          <w:rFonts w:ascii="Palatino Linotype" w:hAnsi="Palatino Linotype"/>
          <w:szCs w:val="24"/>
        </w:rPr>
        <w:t>;</w:t>
      </w:r>
    </w:p>
    <w:p w:rsidR="00987488" w:rsidRPr="00BF7F2B" w:rsidRDefault="00987488" w:rsidP="0098748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Palatino Linotype" w:hAnsi="Palatino Linotype"/>
        </w:rPr>
      </w:pPr>
      <w:r w:rsidRPr="00BF7F2B">
        <w:rPr>
          <w:rFonts w:ascii="Palatino Linotype" w:hAnsi="Palatino Linotype"/>
          <w:szCs w:val="24"/>
        </w:rPr>
        <w:t>Ordonanţa Guvernului nr. 137/2000 privind prevenirea și sancționarea tuturor formelor de discriminare, republicată, cu modificările și completările ulterioare;</w:t>
      </w:r>
    </w:p>
    <w:p w:rsidR="00987488" w:rsidRPr="00BF7F2B" w:rsidRDefault="00987488" w:rsidP="0098748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283"/>
        <w:jc w:val="both"/>
        <w:textAlignment w:val="baseline"/>
        <w:rPr>
          <w:rFonts w:ascii="Palatino Linotype" w:hAnsi="Palatino Linotype"/>
        </w:rPr>
      </w:pPr>
      <w:r w:rsidRPr="00BF7F2B">
        <w:rPr>
          <w:rFonts w:ascii="Palatino Linotype" w:hAnsi="Palatino Linotype"/>
          <w:szCs w:val="24"/>
        </w:rPr>
        <w:t xml:space="preserve">Legea nr. 202/2002 </w:t>
      </w:r>
      <w:r w:rsidRPr="00BF7F2B">
        <w:rPr>
          <w:rFonts w:ascii="Palatino Linotype" w:hAnsi="Palatino Linotype"/>
        </w:rPr>
        <w:t>privind egalitatea de şanse şi de tratament între femei şi bărbaţi, republicată, cu modificările şi completările ulterioare.</w:t>
      </w:r>
    </w:p>
    <w:p w:rsidR="00974392" w:rsidRPr="00025C9B" w:rsidRDefault="00974392" w:rsidP="009743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alatino Linotype" w:hAnsi="Palatino Linotype"/>
          <w:b/>
          <w:szCs w:val="24"/>
        </w:rPr>
      </w:pPr>
    </w:p>
    <w:p w:rsidR="00974392" w:rsidRDefault="00974392" w:rsidP="0097439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Palatino Linotype" w:hAnsi="Palatino Linotype" w:cs="TimesNewRomanPS-BoldMT"/>
          <w:b/>
          <w:sz w:val="28"/>
          <w:szCs w:val="28"/>
          <w:u w:val="single"/>
        </w:rPr>
      </w:pPr>
      <w:r w:rsidRPr="00974392">
        <w:rPr>
          <w:rFonts w:ascii="Palatino Linotype" w:hAnsi="Palatino Linotype" w:cs="TimesNewRomanPS-BoldMT"/>
          <w:b/>
          <w:sz w:val="28"/>
          <w:szCs w:val="28"/>
          <w:u w:val="single"/>
        </w:rPr>
        <w:t>Tematica</w:t>
      </w:r>
    </w:p>
    <w:p w:rsidR="00974392" w:rsidRPr="00025C9B" w:rsidRDefault="00974392" w:rsidP="00974392">
      <w:pPr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rFonts w:ascii="Palatino Linotype" w:hAnsi="Palatino Linotype"/>
          <w:szCs w:val="24"/>
        </w:rPr>
      </w:pPr>
    </w:p>
    <w:p w:rsidR="00974392" w:rsidRPr="00025C9B" w:rsidRDefault="00974392" w:rsidP="00974392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283"/>
        <w:contextualSpacing/>
        <w:textAlignment w:val="baseline"/>
        <w:rPr>
          <w:rFonts w:ascii="Palatino Linotype" w:hAnsi="Palatino Linotype"/>
          <w:b/>
          <w:szCs w:val="24"/>
          <w:u w:val="single"/>
        </w:rPr>
      </w:pPr>
      <w:bookmarkStart w:id="0" w:name="_Hlk116645683"/>
      <w:r w:rsidRPr="00025C9B">
        <w:rPr>
          <w:rFonts w:ascii="Palatino Linotype" w:hAnsi="Palatino Linotype"/>
          <w:szCs w:val="24"/>
        </w:rPr>
        <w:t xml:space="preserve">Reglementări privind </w:t>
      </w:r>
      <w:bookmarkEnd w:id="0"/>
      <w:r w:rsidRPr="00025C9B">
        <w:rPr>
          <w:rFonts w:ascii="Palatino Linotype" w:hAnsi="Palatino Linotype"/>
          <w:szCs w:val="24"/>
        </w:rPr>
        <w:t>îndatoririle fundamentale;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bCs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 xml:space="preserve">Reglementări privind </w:t>
      </w:r>
      <w:r w:rsidRPr="00025C9B">
        <w:rPr>
          <w:rFonts w:ascii="Palatino Linotype" w:hAnsi="Palatino Linotype"/>
          <w:bCs/>
          <w:sz w:val="24"/>
          <w:szCs w:val="24"/>
        </w:rPr>
        <w:t>administrația publică locală;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bCs/>
          <w:sz w:val="24"/>
          <w:szCs w:val="24"/>
        </w:rPr>
      </w:pPr>
      <w:bookmarkStart w:id="1" w:name="_Hlk116645823"/>
      <w:r w:rsidRPr="00025C9B">
        <w:rPr>
          <w:rFonts w:ascii="Palatino Linotype" w:hAnsi="Palatino Linotype"/>
          <w:sz w:val="24"/>
          <w:szCs w:val="24"/>
        </w:rPr>
        <w:t>Reglementări privind</w:t>
      </w:r>
      <w:bookmarkEnd w:id="1"/>
      <w:r w:rsidRPr="00025C9B">
        <w:rPr>
          <w:rFonts w:ascii="Palatino Linotype" w:hAnsi="Palatino Linotype"/>
          <w:sz w:val="24"/>
          <w:szCs w:val="24"/>
        </w:rPr>
        <w:t xml:space="preserve"> </w:t>
      </w:r>
      <w:r w:rsidRPr="00025C9B">
        <w:rPr>
          <w:rFonts w:ascii="Palatino Linotype" w:hAnsi="Palatino Linotype"/>
          <w:bCs/>
          <w:sz w:val="24"/>
          <w:szCs w:val="24"/>
        </w:rPr>
        <w:t>statutul funcționarilor publici, prevederi aplicabile personalului contractual din administrația publică și evidența personalului plătit din fonduri publice;</w:t>
      </w:r>
    </w:p>
    <w:p w:rsidR="00974392" w:rsidRPr="00025C9B" w:rsidRDefault="00974392" w:rsidP="00974392">
      <w:pPr>
        <w:pStyle w:val="NormalWeb"/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rPr>
          <w:rFonts w:ascii="Palatino Linotype" w:hAnsi="Palatino Linotype"/>
        </w:rPr>
      </w:pPr>
      <w:r w:rsidRPr="00025C9B">
        <w:rPr>
          <w:rFonts w:ascii="Palatino Linotype" w:hAnsi="Palatino Linotype"/>
        </w:rPr>
        <w:t>Reglementări privind obligaţiile creatorilor şi deţinătorilor de documente</w:t>
      </w:r>
      <w:r>
        <w:rPr>
          <w:rFonts w:ascii="Palatino Linotype" w:hAnsi="Palatino Linotype"/>
        </w:rPr>
        <w:t>;</w:t>
      </w:r>
    </w:p>
    <w:p w:rsidR="00974392" w:rsidRPr="00025C9B" w:rsidRDefault="00974392" w:rsidP="00974392">
      <w:pPr>
        <w:pStyle w:val="NormalWeb"/>
        <w:numPr>
          <w:ilvl w:val="0"/>
          <w:numId w:val="2"/>
        </w:numPr>
        <w:spacing w:before="100" w:beforeAutospacing="1" w:after="100" w:afterAutospacing="1" w:line="240" w:lineRule="auto"/>
        <w:ind w:left="567" w:hanging="283"/>
        <w:jc w:val="both"/>
        <w:rPr>
          <w:rFonts w:ascii="Palatino Linotype" w:hAnsi="Palatino Linotype"/>
        </w:rPr>
      </w:pPr>
      <w:r w:rsidRPr="00025C9B">
        <w:rPr>
          <w:rFonts w:ascii="Palatino Linotype" w:hAnsi="Palatino Linotype"/>
        </w:rPr>
        <w:t>Reglementări privind folosirea documentelor care fac parte din Fondul Arhivistic Naţional al României</w:t>
      </w:r>
      <w:r>
        <w:rPr>
          <w:rFonts w:ascii="Palatino Linotype" w:hAnsi="Palatino Linotype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bCs/>
          <w:sz w:val="24"/>
          <w:szCs w:val="24"/>
        </w:rPr>
      </w:pPr>
      <w:r w:rsidRPr="00025C9B">
        <w:rPr>
          <w:rFonts w:ascii="Palatino Linotype" w:eastAsia="Times New Roman" w:hAnsi="Palatino Linotype"/>
          <w:sz w:val="24"/>
          <w:szCs w:val="24"/>
        </w:rPr>
        <w:t>Reglementări privind organizarea</w:t>
      </w:r>
      <w:r w:rsidRPr="00025C9B">
        <w:rPr>
          <w:rFonts w:ascii="Palatino Linotype" w:hAnsi="Palatino Linotype"/>
          <w:sz w:val="24"/>
          <w:szCs w:val="24"/>
        </w:rPr>
        <w:t xml:space="preserve"> şi funcţionarea aparatului de specialitate al Consiliului Judeţean Covasna;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Dispozițiile generale ale regulamentului intern;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Principiile care guvernează conduita profesională a salariaților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Reguli privind respectarea principiului nediscriminării şi al înlăturării oricărei forme de încălcare a demnității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Normele de conduită a salariaților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Reglementări privind comunicarea şi limitele de competenţă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Reglementări privind utilizarea sistemului informatic și protecția datelor cu caracter personal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Reguli privind igiena, securitatea şi sănătatea muncii, apărarea împotriva incendiilor și protecția maternității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Reglementări privind drepturile și obliga</w:t>
      </w:r>
      <w:r>
        <w:rPr>
          <w:rFonts w:ascii="Palatino Linotype" w:hAnsi="Palatino Linotype"/>
          <w:sz w:val="24"/>
          <w:szCs w:val="24"/>
        </w:rPr>
        <w:t>ț</w:t>
      </w:r>
      <w:r w:rsidRPr="00025C9B">
        <w:rPr>
          <w:rFonts w:ascii="Palatino Linotype" w:hAnsi="Palatino Linotype"/>
          <w:sz w:val="24"/>
          <w:szCs w:val="24"/>
        </w:rPr>
        <w:t>iile angajatorului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Reglementări privind drepturile și obligațiile salariaților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Reglementări privind organizarea muncii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Reglementări privind disciplina muncii și răspunderea disciplinară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Reguli referitoare la procedura disciplinară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Pr="00025C9B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>Reglementări privind procedura de soluționare a cererilor sau reclamațiilor individuale ale salariaților</w:t>
      </w:r>
      <w:r>
        <w:rPr>
          <w:rFonts w:ascii="Palatino Linotype" w:hAnsi="Palatino Linotype"/>
          <w:sz w:val="24"/>
          <w:szCs w:val="24"/>
        </w:rPr>
        <w:t>;</w:t>
      </w:r>
    </w:p>
    <w:p w:rsidR="00974392" w:rsidRDefault="00974392" w:rsidP="00974392">
      <w:pPr>
        <w:pStyle w:val="BodyTextIndent3"/>
        <w:numPr>
          <w:ilvl w:val="0"/>
          <w:numId w:val="2"/>
        </w:numPr>
        <w:tabs>
          <w:tab w:val="left" w:pos="1560"/>
        </w:tabs>
        <w:spacing w:after="0"/>
        <w:ind w:left="567" w:right="-1" w:hanging="283"/>
        <w:jc w:val="both"/>
        <w:rPr>
          <w:rFonts w:ascii="Palatino Linotype" w:hAnsi="Palatino Linotype"/>
          <w:sz w:val="24"/>
          <w:szCs w:val="24"/>
        </w:rPr>
      </w:pPr>
      <w:r w:rsidRPr="00025C9B">
        <w:rPr>
          <w:rFonts w:ascii="Palatino Linotype" w:hAnsi="Palatino Linotype"/>
          <w:sz w:val="24"/>
          <w:szCs w:val="24"/>
        </w:rPr>
        <w:t xml:space="preserve">Reglementări privind avertizarea privind fapte de încălcare </w:t>
      </w:r>
      <w:r>
        <w:rPr>
          <w:rFonts w:ascii="Palatino Linotype" w:hAnsi="Palatino Linotype"/>
          <w:sz w:val="24"/>
          <w:szCs w:val="24"/>
        </w:rPr>
        <w:t>a legii, protecția salariaților</w:t>
      </w:r>
      <w:r w:rsidR="00413429">
        <w:rPr>
          <w:rFonts w:ascii="Palatino Linotype" w:hAnsi="Palatino Linotype"/>
          <w:sz w:val="24"/>
          <w:szCs w:val="24"/>
        </w:rPr>
        <w:t>;</w:t>
      </w:r>
    </w:p>
    <w:p w:rsidR="00413429" w:rsidRPr="00171F2F" w:rsidRDefault="00413429" w:rsidP="00413429">
      <w:pPr>
        <w:pStyle w:val="BodyTextIndent3"/>
        <w:numPr>
          <w:ilvl w:val="0"/>
          <w:numId w:val="2"/>
        </w:numPr>
        <w:tabs>
          <w:tab w:val="left" w:pos="851"/>
          <w:tab w:val="left" w:pos="1560"/>
        </w:tabs>
        <w:spacing w:after="0"/>
        <w:ind w:left="567" w:right="-1" w:hanging="142"/>
        <w:jc w:val="both"/>
        <w:rPr>
          <w:rFonts w:ascii="Palatino Linotype" w:hAnsi="Palatino Linotype"/>
          <w:sz w:val="24"/>
          <w:szCs w:val="24"/>
        </w:rPr>
      </w:pPr>
      <w:r w:rsidRPr="00171F2F">
        <w:rPr>
          <w:rFonts w:ascii="Palatino Linotype" w:hAnsi="Palatino Linotype"/>
          <w:sz w:val="24"/>
          <w:szCs w:val="24"/>
        </w:rPr>
        <w:t>Reglementări privind normele procedurale privind primirea, înregistrarea, urmărirea modului de rezolvare şi expedierea documentelor la nivelul Consiliului Județean Covasna;</w:t>
      </w:r>
    </w:p>
    <w:p w:rsidR="00413429" w:rsidRPr="00171F2F" w:rsidRDefault="00413429" w:rsidP="0041342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142"/>
        <w:contextualSpacing/>
        <w:jc w:val="both"/>
        <w:textAlignment w:val="baseline"/>
        <w:rPr>
          <w:rFonts w:ascii="Palatino Linotype" w:hAnsi="Palatino Linotype" w:cs="Courier New"/>
          <w:bCs/>
          <w:szCs w:val="24"/>
        </w:rPr>
      </w:pPr>
      <w:r w:rsidRPr="00171F2F">
        <w:rPr>
          <w:rFonts w:ascii="Palatino Linotype" w:hAnsi="Palatino Linotype"/>
          <w:szCs w:val="24"/>
        </w:rPr>
        <w:t>Reglementări privind</w:t>
      </w:r>
      <w:r w:rsidRPr="00171F2F">
        <w:rPr>
          <w:rFonts w:ascii="Palatino Linotype" w:hAnsi="Palatino Linotype" w:cs="Courier New"/>
          <w:bCs/>
          <w:szCs w:val="24"/>
        </w:rPr>
        <w:t xml:space="preserve"> egalitatea în activitatea economică și în materia de angajare și profesie;</w:t>
      </w:r>
    </w:p>
    <w:p w:rsidR="00413429" w:rsidRPr="00171F2F" w:rsidRDefault="00413429" w:rsidP="0041342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142"/>
        <w:contextualSpacing/>
        <w:jc w:val="both"/>
        <w:textAlignment w:val="baseline"/>
        <w:rPr>
          <w:rFonts w:ascii="Palatino Linotype" w:hAnsi="Palatino Linotype" w:cs="Courier New"/>
          <w:bCs/>
          <w:szCs w:val="24"/>
        </w:rPr>
      </w:pPr>
      <w:r w:rsidRPr="00171F2F">
        <w:rPr>
          <w:rFonts w:ascii="Palatino Linotype" w:hAnsi="Palatino Linotype"/>
          <w:szCs w:val="24"/>
        </w:rPr>
        <w:t>Reglementări privind</w:t>
      </w:r>
      <w:r w:rsidRPr="00171F2F">
        <w:rPr>
          <w:rFonts w:ascii="Palatino Linotype" w:hAnsi="Palatino Linotype" w:cs="Courier New"/>
          <w:bCs/>
          <w:szCs w:val="24"/>
        </w:rPr>
        <w:t xml:space="preserve"> accesul la serviciile publice administrative și juridice, de sănătate, la alte servicii, bunuri și facilități;</w:t>
      </w:r>
    </w:p>
    <w:p w:rsidR="00413429" w:rsidRPr="00171F2F" w:rsidRDefault="00413429" w:rsidP="0041342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142"/>
        <w:contextualSpacing/>
        <w:jc w:val="both"/>
        <w:textAlignment w:val="baseline"/>
        <w:rPr>
          <w:rFonts w:ascii="Palatino Linotype" w:hAnsi="Palatino Linotype" w:cs="Courier New"/>
          <w:bCs/>
          <w:szCs w:val="24"/>
        </w:rPr>
      </w:pPr>
      <w:r w:rsidRPr="00171F2F">
        <w:rPr>
          <w:rFonts w:ascii="Palatino Linotype" w:hAnsi="Palatino Linotype"/>
          <w:szCs w:val="24"/>
        </w:rPr>
        <w:t>Reglementări privind</w:t>
      </w:r>
      <w:r w:rsidRPr="00171F2F">
        <w:rPr>
          <w:rFonts w:ascii="Palatino Linotype" w:hAnsi="Palatino Linotype" w:cs="Courier New"/>
          <w:bCs/>
          <w:szCs w:val="24"/>
        </w:rPr>
        <w:t xml:space="preserve"> egalitatea de șanse și tratament între femei și bărbați în domeniul muncii;</w:t>
      </w:r>
    </w:p>
    <w:p w:rsidR="00413429" w:rsidRPr="00171F2F" w:rsidRDefault="00413429" w:rsidP="0041342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142"/>
        <w:contextualSpacing/>
        <w:jc w:val="both"/>
        <w:textAlignment w:val="baseline"/>
        <w:rPr>
          <w:rFonts w:ascii="Palatino Linotype" w:hAnsi="Palatino Linotype" w:cs="Courier New"/>
          <w:bCs/>
          <w:szCs w:val="24"/>
        </w:rPr>
      </w:pPr>
      <w:bookmarkStart w:id="2" w:name="_Hlk116908917"/>
      <w:r w:rsidRPr="00171F2F">
        <w:rPr>
          <w:rFonts w:ascii="Palatino Linotype" w:hAnsi="Palatino Linotype"/>
          <w:szCs w:val="24"/>
        </w:rPr>
        <w:t>Reglementări privind</w:t>
      </w:r>
      <w:r w:rsidRPr="00171F2F">
        <w:rPr>
          <w:rFonts w:ascii="Palatino Linotype" w:hAnsi="Palatino Linotype" w:cs="Courier New"/>
          <w:bCs/>
          <w:szCs w:val="24"/>
        </w:rPr>
        <w:t xml:space="preserve"> </w:t>
      </w:r>
      <w:bookmarkEnd w:id="2"/>
      <w:r w:rsidRPr="00171F2F">
        <w:rPr>
          <w:rFonts w:ascii="Palatino Linotype" w:hAnsi="Palatino Linotype" w:cs="Courier New"/>
          <w:bCs/>
          <w:szCs w:val="24"/>
        </w:rPr>
        <w:t>egalitatea de șanse între femei și bărbați în ceea ce privește participarea la luarea deciziei</w:t>
      </w:r>
      <w:r>
        <w:rPr>
          <w:rFonts w:ascii="Palatino Linotype" w:hAnsi="Palatino Linotype" w:cs="Courier New"/>
          <w:bCs/>
          <w:szCs w:val="24"/>
        </w:rPr>
        <w:t>.</w:t>
      </w:r>
    </w:p>
    <w:p w:rsidR="00413429" w:rsidRPr="00025C9B" w:rsidRDefault="00413429" w:rsidP="00413429">
      <w:pPr>
        <w:pStyle w:val="BodyTextIndent3"/>
        <w:tabs>
          <w:tab w:val="left" w:pos="1560"/>
        </w:tabs>
        <w:spacing w:after="0"/>
        <w:ind w:left="567" w:right="-1"/>
        <w:jc w:val="both"/>
        <w:rPr>
          <w:rFonts w:ascii="Palatino Linotype" w:hAnsi="Palatino Linotype"/>
          <w:sz w:val="24"/>
          <w:szCs w:val="24"/>
        </w:rPr>
      </w:pPr>
    </w:p>
    <w:sectPr w:rsidR="00413429" w:rsidRPr="00025C9B" w:rsidSect="00974392">
      <w:pgSz w:w="11907" w:h="16840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31D13"/>
    <w:multiLevelType w:val="hybridMultilevel"/>
    <w:tmpl w:val="78E69F16"/>
    <w:lvl w:ilvl="0" w:tplc="DC4AACA2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">
    <w:nsid w:val="262925C7"/>
    <w:multiLevelType w:val="hybridMultilevel"/>
    <w:tmpl w:val="279CD2E0"/>
    <w:lvl w:ilvl="0" w:tplc="AADE73BA">
      <w:start w:val="3"/>
      <w:numFmt w:val="bullet"/>
      <w:lvlText w:val="-"/>
      <w:lvlJc w:val="left"/>
      <w:pPr>
        <w:ind w:left="1080" w:hanging="360"/>
      </w:pPr>
      <w:rPr>
        <w:rFonts w:ascii="Palatino Linotype" w:eastAsia="SimSun" w:hAnsi="Palatino Linotype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74392"/>
    <w:rsid w:val="00090476"/>
    <w:rsid w:val="00413429"/>
    <w:rsid w:val="0059531A"/>
    <w:rsid w:val="006054CA"/>
    <w:rsid w:val="00974392"/>
    <w:rsid w:val="00987488"/>
    <w:rsid w:val="00CC51A6"/>
    <w:rsid w:val="00E0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92"/>
    <w:pPr>
      <w:spacing w:after="0" w:line="240" w:lineRule="auto"/>
    </w:pPr>
    <w:rPr>
      <w:rFonts w:ascii="Times New Roman" w:eastAsia="Calibri" w:hAnsi="Times New Roman" w:cs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4392"/>
    <w:pPr>
      <w:spacing w:after="370" w:line="370" w:lineRule="atLeast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974392"/>
    <w:pPr>
      <w:ind w:left="72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9743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74392"/>
    <w:rPr>
      <w:rFonts w:ascii="Times New Roman" w:eastAsia="Calibri" w:hAnsi="Times New Roman" w:cs="Times New Roman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szeptunde</dc:creator>
  <cp:lastModifiedBy>szeptunde</cp:lastModifiedBy>
  <cp:revision>3</cp:revision>
  <dcterms:created xsi:type="dcterms:W3CDTF">2023-05-03T06:07:00Z</dcterms:created>
  <dcterms:modified xsi:type="dcterms:W3CDTF">2024-03-04T11:00:00Z</dcterms:modified>
</cp:coreProperties>
</file>